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8"/>
          <w:tab w:val="left" w:pos="5739" w:leader="none"/>
        </w:tabs>
        <w:spacing w:before="0" w:after="280"/>
        <w:jc w:val="right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5731510" cy="67500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tabs>
          <w:tab w:val="clear" w:pos="708"/>
          <w:tab w:val="left" w:pos="5739" w:leader="none"/>
        </w:tabs>
        <w:spacing w:before="280" w:after="280"/>
        <w:jc w:val="right"/>
        <w:rPr>
          <w:rStyle w:val="Strong"/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</w:rPr>
        <w:t>Niemce, dnia 07.06.2023 r.</w:t>
      </w:r>
    </w:p>
    <w:p>
      <w:pPr>
        <w:pStyle w:val="NoSpacing"/>
        <w:jc w:val="center"/>
        <w:rPr>
          <w:rFonts w:cs="Calibri" w:cstheme="minorHAnsi"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  <w:lang w:eastAsia="pl-PL"/>
        </w:rPr>
        <w:t xml:space="preserve">ZAPYTANIE OFERTOWE </w:t>
      </w:r>
      <w:r>
        <w:rPr>
          <w:rFonts w:cs="Calibri" w:cstheme="minorHAnsi"/>
          <w:sz w:val="24"/>
          <w:szCs w:val="24"/>
          <w:lang w:eastAsia="pl-PL"/>
        </w:rPr>
        <w:br/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I. Zamawiający: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NZOZ PLR UŚMIECH ARTUR PORĘBSKI </w:t>
      </w:r>
      <w:r>
        <w:rPr>
          <w:rFonts w:eastAsia="Times New Roman" w:cs="Calibri" w:cstheme="minorHAnsi"/>
          <w:sz w:val="24"/>
          <w:szCs w:val="24"/>
          <w:lang w:eastAsia="pl-PL"/>
        </w:rPr>
        <w:t>ul. Różana 33, 21-025 Niemce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FF0000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zaprasza do złożenia oferty cenowej w ramach projektu  </w:t>
      </w:r>
      <w:r>
        <w:rPr>
          <w:b/>
          <w:sz w:val="24"/>
          <w:szCs w:val="24"/>
        </w:rPr>
        <w:t>„Wdrożenie e-usług w placówkach POZ i ich integracja z systemem e-zdrowia (akronim „e-usługi POZ”)”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rPr>
          <w:rFonts w:cs="Calibri" w:cstheme="minorHAnsi"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II. Sposób udzielenia zamówienia</w:t>
      </w:r>
      <w:r>
        <w:rPr>
          <w:rFonts w:cs="Calibri" w:cstheme="minorHAnsi"/>
          <w:bCs/>
          <w:sz w:val="24"/>
          <w:szCs w:val="24"/>
          <w:lang w:eastAsia="pl-PL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Dotyczy postępowania o udzielenie zamówienia publicznego prowadzonego w trybie Zapytania ofertowego </w:t>
      </w:r>
      <w:r>
        <w:rPr>
          <w:rFonts w:cs="Calibri" w:cstheme="minorHAnsi"/>
          <w:color w:val="FF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Zamówienie zostało podzielone na 6 części.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Wykonawcy mogą składać oferty na wszystkie części zamówienia.</w:t>
      </w:r>
      <w:bookmarkStart w:id="0" w:name="_Hlk83240980"/>
      <w:bookmarkEnd w:id="0"/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Opis przedmiotu zamówienia.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  <w:lang w:eastAsia="pl-PL"/>
        </w:rPr>
      </w:pPr>
      <w:r>
        <w:rPr>
          <w:rFonts w:cs="Calibri" w:cstheme="minorHAnsi"/>
          <w:color w:val="000000"/>
          <w:sz w:val="24"/>
          <w:szCs w:val="24"/>
          <w:lang w:eastAsia="pl-PL"/>
        </w:rPr>
        <w:t>Zamawiany asortyment musi spełniać wymagania w zakresie jakości i standardów bezpieczeństwa. Wszystkie przedmioty zamówienia muszą być nowe.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  <w:sz w:val="24"/>
          <w:szCs w:val="24"/>
          <w:lang w:eastAsia="pl-PL"/>
        </w:rPr>
      </w:pPr>
      <w:r>
        <w:rPr>
          <w:rFonts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  <w:sz w:val="24"/>
          <w:szCs w:val="24"/>
          <w:lang w:eastAsia="pl-PL"/>
        </w:rPr>
      </w:pPr>
      <w:r>
        <w:rPr>
          <w:rFonts w:cs="Calibri" w:cstheme="minorHAnsi"/>
          <w:b/>
          <w:bCs/>
          <w:color w:val="000000"/>
          <w:sz w:val="24"/>
          <w:szCs w:val="24"/>
          <w:lang w:eastAsia="pl-PL"/>
        </w:rPr>
        <w:t xml:space="preserve">CZĘŚĆ PIERWSZA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  <w:sz w:val="24"/>
          <w:szCs w:val="24"/>
          <w:lang w:eastAsia="pl-PL"/>
        </w:rPr>
      </w:pPr>
      <w:r>
        <w:rPr>
          <w:rFonts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textAlignment w:val="baseline"/>
        <w:rPr>
          <w:rFonts w:eastAsia="NSimSun" w:cs="Arial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SimSun" w:cs="Arial"/>
          <w:b/>
          <w:bCs/>
          <w:kern w:val="2"/>
          <w:sz w:val="24"/>
          <w:szCs w:val="24"/>
          <w:lang w:eastAsia="zh-CN" w:bidi="hi-IN"/>
        </w:rPr>
        <w:t>KS-EDMSUITE (c) – 80 pakietów podstawowych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textAlignment w:val="baseline"/>
        <w:rPr>
          <w:rFonts w:eastAsia="NSimSun" w:cs="Arial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SimSun" w:cs="Arial"/>
          <w:b/>
          <w:bCs/>
          <w:kern w:val="2"/>
          <w:sz w:val="24"/>
          <w:szCs w:val="24"/>
          <w:lang w:eastAsia="zh-CN" w:bidi="hi-IN"/>
        </w:rPr>
        <w:t>KS-EDMSUITE (c) – 600 PAKIETÓW ARCHIWALNYCH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Jest to rozwiązanie informatyczne umożliwiające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współpracę repozytorium Elektronicznej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Dokumentacji Medycznej z Platformą P1 i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wszystkimi innymi świadczeniodawcami w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zakresie obsługi funkcjonalności Zdarzeń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Medycznych naszego programu gabinetowego KS</w:t>
      </w:r>
    </w:p>
    <w:p>
      <w:pPr>
        <w:pStyle w:val="Normal"/>
        <w:suppressAutoHyphens w:val="true"/>
        <w:spacing w:lineRule="auto" w:line="240" w:before="0" w:after="0"/>
        <w:ind w:left="1418" w:hanging="0"/>
        <w:textAlignment w:val="baseline"/>
        <w:rPr>
          <w:rFonts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/>
          <w:kern w:val="2"/>
          <w:sz w:val="24"/>
          <w:szCs w:val="24"/>
          <w:lang w:eastAsia="zh-CN" w:bidi="hi-IN"/>
        </w:rPr>
        <w:t>SOMED.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CZĘŚĆ DRUGA</w:t>
      </w:r>
    </w:p>
    <w:p>
      <w:pPr>
        <w:pStyle w:val="Standard"/>
        <w:numPr>
          <w:ilvl w:val="0"/>
          <w:numId w:val="7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Komputer mini PC  o parametrach co najmniej takich jak wymienione poniżej 6 sztuk</w:t>
      </w:r>
    </w:p>
    <w:p>
      <w:pPr>
        <w:pStyle w:val="Textbody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Seria: Intel Core i7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Liczba rdzeni procesora: 4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Liczba wątków procesora: 8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Taktowanie bazowe procesora: 2.8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Taktowanie maksymalne procesora: 3.6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Pamięć podręczna procesora: 8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Wielkość pamięci RAM: 8 GB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Typ pamięci RAM: DDR4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Taktowanie szyny pamięci RAM (MHz): 2133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Rodzaj karty graficznej: zintegrowana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Chipset karty graficznej: HD Graphics 530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Pamięć karty graficznej: współdzielona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Typ dysku twardego: SSD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Pojemność dysku: 256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System operacyjny: Windows 10 Professional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Złącza obudowy: 2x USB 3.0 typ A, mini jack 3,5 (audio), czytnik kart pamięci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Złącza - panel tylni: 4x USB 3.0 typ A , RJ-45 , DisplayPort , gniazda audio minijack</w:t>
      </w:r>
    </w:p>
    <w:p>
      <w:pPr>
        <w:pStyle w:val="Textbody"/>
        <w:numPr>
          <w:ilvl w:val="2"/>
          <w:numId w:val="8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Komunikacja: LAN 10/100/1000 Mbps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CZĘŚĆ TRZECIA </w:t>
      </w:r>
    </w:p>
    <w:p>
      <w:pPr>
        <w:pStyle w:val="Textbody"/>
        <w:numPr>
          <w:ilvl w:val="0"/>
          <w:numId w:val="9"/>
        </w:numPr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="Calibri" w:hAnsi="Calibri" w:asciiTheme="minorHAnsi" w:hAnsiTheme="minorHAnsi"/>
          <w:b/>
          <w:bCs/>
          <w:color w:val="000000"/>
        </w:rPr>
        <w:t>Monitor o parametrach co najmniej takich jak poniżej-  6szt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Typ ekranu: LED, IPS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Przekątna ekranu: 27''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Rozdzielczość ekranu (px): 2560 x 1440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Częstotliwość odświeżania: 60 Hz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Plamka: 0,233 mm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Jasność: 350 cd/m2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Gama kolorów: 100% sRGB, 100% Rec.709, 95% DCI-P3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Kontrast statyczny: 1000:1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Czas reakcji: 8 ms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Złącza / porty: 1 x DisplayPort in, 1 x DisplayPort out, 1 x HDMI, 2 x USB Typu C, 3 x USB 3.2 G2, 1 x Audio out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Regulacja i ergonomia: Regulacja nachylenia,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Regulacja obrotu,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Funkcja PIVOT</w:t>
      </w:r>
    </w:p>
    <w:p>
      <w:pPr>
        <w:pStyle w:val="Textbody"/>
        <w:numPr>
          <w:ilvl w:val="2"/>
          <w:numId w:val="10"/>
        </w:numPr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Norma emisji: EnergyStar, TCO Certified Edge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  <w:lang w:val="en-US"/>
        </w:rPr>
      </w:pPr>
      <w:r>
        <w:rPr>
          <w:rFonts w:cs="Calibri" w:cstheme="minorHAnsi"/>
          <w:b/>
          <w:bCs/>
          <w:sz w:val="24"/>
          <w:szCs w:val="24"/>
          <w:lang w:val="en-US"/>
        </w:rPr>
        <w:t xml:space="preserve">CZĘŚĆ CZWARTA </w:t>
      </w:r>
    </w:p>
    <w:p>
      <w:pPr>
        <w:pStyle w:val="Standard"/>
        <w:numPr>
          <w:ilvl w:val="0"/>
          <w:numId w:val="11"/>
        </w:numPr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="Calibri" w:hAnsi="Calibri" w:asciiTheme="minorHAnsi" w:hAnsiTheme="minorHAnsi"/>
          <w:b/>
          <w:bCs/>
          <w:color w:val="000000"/>
        </w:rPr>
        <w:t>Urządzenie wielofunkcyjne przetestowane i zaakceptowane do współpracy z oprogramowaniem gabinetowym KS-Somed   6 szt</w:t>
      </w:r>
    </w:p>
    <w:p>
      <w:pPr>
        <w:pStyle w:val="Standard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  <w:lang w:val="en-US"/>
        </w:rPr>
      </w:pPr>
      <w:r>
        <w:rPr>
          <w:rFonts w:cs="Calibri" w:cstheme="minorHAnsi"/>
          <w:b/>
          <w:bCs/>
          <w:sz w:val="24"/>
          <w:szCs w:val="24"/>
          <w:lang w:val="en-US"/>
        </w:rPr>
        <w:t xml:space="preserve">CZĘŚC PIĄTA </w:t>
      </w:r>
    </w:p>
    <w:p>
      <w:pPr>
        <w:pStyle w:val="Nagwek1"/>
        <w:numPr>
          <w:ilvl w:val="0"/>
          <w:numId w:val="14"/>
        </w:numPr>
        <w:rPr>
          <w:rFonts w:ascii="Calibri" w:hAnsi="Calibri" w:asciiTheme="minorHAnsi" w:hAnsiTheme="minorHAnsi"/>
          <w:b/>
          <w:b/>
          <w:bCs/>
          <w:color w:val="222222"/>
          <w:sz w:val="24"/>
          <w:szCs w:val="24"/>
        </w:rPr>
      </w:pPr>
      <w:r>
        <w:rPr>
          <w:rFonts w:ascii="Calibri" w:hAnsi="Calibri" w:asciiTheme="minorHAnsi" w:hAnsiTheme="minorHAnsi"/>
          <w:b/>
          <w:bCs/>
          <w:color w:val="222222"/>
          <w:sz w:val="24"/>
          <w:szCs w:val="24"/>
        </w:rPr>
        <w:t>Serwer rakowy o parametrach co najmniej takich jak poniżej 1 szt.</w:t>
      </w:r>
    </w:p>
    <w:p>
      <w:pPr>
        <w:pStyle w:val="Nagwek1"/>
        <w:numPr>
          <w:ilvl w:val="1"/>
          <w:numId w:val="21"/>
        </w:numPr>
        <w:ind w:left="1080" w:hanging="360"/>
        <w:rPr>
          <w:rFonts w:ascii="Calibri" w:hAnsi="Calibri" w:asciiTheme="minorHAnsi" w:hAnsiTheme="minorHAnsi"/>
          <w:sz w:val="24"/>
          <w:szCs w:val="24"/>
          <w:lang w:val="en-US"/>
        </w:rPr>
      </w:pPr>
      <w:r>
        <w:rPr>
          <w:rFonts w:ascii="Calibri" w:hAnsi="Calibri" w:asciiTheme="minorHAnsi" w:hAnsiTheme="minorHAnsi"/>
          <w:color w:val="222222"/>
          <w:sz w:val="24"/>
          <w:szCs w:val="24"/>
        </w:rPr>
        <w:t xml:space="preserve">Xeon E-2356G 32 GB RAM DVD-RW 2x1Gb PSAS CP 2100- 8i FH/LP 2 x SSD SATA 6G 960GB Read-Int. </w:t>
      </w:r>
      <w:r>
        <w:rPr>
          <w:rFonts w:ascii="Calibri" w:hAnsi="Calibri" w:asciiTheme="minorHAnsi" w:hAnsiTheme="minorHAnsi"/>
          <w:color w:val="222222"/>
          <w:sz w:val="24"/>
          <w:szCs w:val="24"/>
          <w:lang w:val="en-US"/>
        </w:rPr>
        <w:t>3.5' H-P EP 2 x HD SAS 12G 4TB 7.2K HOT PL 3.5' BC 2 x Modular PSU 500W</w:t>
      </w:r>
    </w:p>
    <w:p>
      <w:pPr>
        <w:pStyle w:val="Standard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agwek1"/>
        <w:numPr>
          <w:ilvl w:val="1"/>
          <w:numId w:val="21"/>
        </w:numPr>
        <w:ind w:left="1080" w:hanging="360"/>
        <w:rPr>
          <w:rFonts w:ascii="Calibri" w:hAnsi="Calibri" w:asciiTheme="minorHAnsi" w:hAnsiTheme="minorHAnsi"/>
          <w:color w:val="000000"/>
          <w:sz w:val="24"/>
          <w:szCs w:val="24"/>
        </w:rPr>
      </w:pPr>
      <w:bookmarkStart w:id="1" w:name="_heading=h.1hnnhmfp4cxy"/>
      <w:bookmarkEnd w:id="1"/>
      <w:r>
        <w:rPr>
          <w:rFonts w:ascii="Calibri" w:hAnsi="Calibri" w:asciiTheme="minorHAnsi" w:hAnsiTheme="minorHAns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asciiTheme="minorHAnsi" w:hAnsiTheme="minorHAnsi"/>
          <w:color w:val="000000"/>
          <w:sz w:val="24"/>
          <w:szCs w:val="24"/>
        </w:rPr>
        <w:t>Instalacja serwera, systemu Windows ESSENTAL, instalcja bazy danych Oracl, instalacja oprogramowania KS, przeniesienie danych ze starego serwera.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CZĘŚĆ SZÓSTA</w:t>
      </w:r>
    </w:p>
    <w:p>
      <w:pPr>
        <w:pStyle w:val="Standard"/>
        <w:numPr>
          <w:ilvl w:val="0"/>
          <w:numId w:val="21"/>
        </w:numPr>
        <w:ind w:left="360" w:hanging="360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="Calibri" w:hAnsi="Calibri" w:asciiTheme="minorHAnsi" w:hAnsiTheme="minorHAnsi"/>
          <w:b/>
          <w:bCs/>
          <w:color w:val="000000"/>
        </w:rPr>
        <w:t>Szafa rakowa wraz z wyposażeniem, montażem i parametrach jak poniżej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1.  Zasilacz awaryjny obwodów zasilających komputery oraz szafy IT</w:t>
      </w:r>
    </w:p>
    <w:p>
      <w:pPr>
        <w:pStyle w:val="Standard"/>
        <w:numPr>
          <w:ilvl w:val="1"/>
          <w:numId w:val="15"/>
        </w:numPr>
        <w:ind w:left="180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Zasilacz awaryjny online o mocy wyjściowej 5000W wraz z bateriami, umożliwiający zasilanie awaryjne na około 10 minut przy pełnym obciążeniu. Zasilacz będzie buforem w momencie braku zasilania do momentu uruchomienia się agregatu prądotwórczego Kraft&amp;Dele KD121 (agregat znajduje się na wyposażeniu przychodni i nie jest przedmiotem zamówienia).</w:t>
      </w:r>
    </w:p>
    <w:p>
      <w:pPr>
        <w:pStyle w:val="Standard"/>
        <w:numPr>
          <w:ilvl w:val="1"/>
          <w:numId w:val="15"/>
        </w:numPr>
        <w:ind w:left="180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Moc znamionowa 5000 VA / 4000 Watt</w:t>
      </w:r>
    </w:p>
    <w:p>
      <w:pPr>
        <w:pStyle w:val="Standard"/>
        <w:numPr>
          <w:ilvl w:val="1"/>
          <w:numId w:val="15"/>
        </w:numPr>
        <w:ind w:left="180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Usługa podłączenie oraz konfiguracja zasilacza awaryjnego do istniejącej instalacji oraz posiadanego przez oferenta agregatu prądotwórczego.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2.  Szafa IT</w:t>
      </w:r>
    </w:p>
    <w:p>
      <w:pPr>
        <w:pStyle w:val="Standard"/>
        <w:numPr>
          <w:ilvl w:val="1"/>
          <w:numId w:val="16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Szafa RACK 42U</w:t>
      </w:r>
    </w:p>
    <w:p>
      <w:pPr>
        <w:pStyle w:val="Standard"/>
        <w:numPr>
          <w:ilvl w:val="1"/>
          <w:numId w:val="16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Szafa IT RACK o wysokości 42U wraz z półkami (4szt) prowadnicami (4szt) z przeszklonym frontem, systemem wentylacji oraz filtrami przeciwpyłowymi.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3. Ruter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montaż rackowy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Podstawowe przełączania Ethernet RJ-45 porty typ 10G Ethernet (100/1000/10000)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Obsługa 10G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Dublowanie portów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Automatyczne MDI/MDI-X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Blokowanie head-of-line (HOL)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przekierowywanie IP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Prędkość transferu danych przez Ethernet LAN 10,100,480,800,1000,1200,2500,3000,5000,6000,10000 Mbit/s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/ bezpieczeństwo 802.1x RADIUS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/ bezpieczeństwo EAP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/ bezpieczeństwo SHA-1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/ bezpieczeństwo MD5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/ bezpieczeństwo SHA-2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/ bezpieczeństwo SSH</w:t>
      </w:r>
    </w:p>
    <w:p>
      <w:pPr>
        <w:pStyle w:val="Standard"/>
        <w:numPr>
          <w:ilvl w:val="1"/>
          <w:numId w:val="17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Filtr treści dedykowanej .</w:t>
      </w:r>
    </w:p>
    <w:p>
      <w:pPr>
        <w:pStyle w:val="Standard"/>
        <w:ind w:left="709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4. Switch 2 sztuki po 48 portów w sumie 96 portów</w:t>
      </w:r>
    </w:p>
    <w:p>
      <w:pPr>
        <w:pStyle w:val="Standard"/>
        <w:numPr>
          <w:ilvl w:val="1"/>
          <w:numId w:val="18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(WEB Managed) Tak</w:t>
      </w:r>
    </w:p>
    <w:p>
      <w:pPr>
        <w:pStyle w:val="Standard"/>
        <w:numPr>
          <w:ilvl w:val="1"/>
          <w:numId w:val="18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Liczba portów 10/100BaseTX (RJ45) 48 szt.</w:t>
      </w:r>
    </w:p>
    <w:p>
      <w:pPr>
        <w:pStyle w:val="Standard"/>
        <w:numPr>
          <w:ilvl w:val="1"/>
          <w:numId w:val="18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Liczba portów 1000BaseT (RJ45) min 2 szt.</w:t>
      </w:r>
    </w:p>
    <w:p>
      <w:pPr>
        <w:pStyle w:val="Standard"/>
        <w:numPr>
          <w:ilvl w:val="1"/>
          <w:numId w:val="18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Liczba gniazd MiniGBIC (SFP) min 2 szt.</w:t>
      </w:r>
    </w:p>
    <w:p>
      <w:pPr>
        <w:pStyle w:val="Standard"/>
        <w:numPr>
          <w:ilvl w:val="1"/>
          <w:numId w:val="18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Porty komunikacji RJ45 serial console port</w:t>
      </w:r>
    </w:p>
    <w:p>
      <w:pPr>
        <w:pStyle w:val="Standard"/>
        <w:numPr>
          <w:ilvl w:val="1"/>
          <w:numId w:val="18"/>
        </w:numPr>
        <w:ind w:left="1440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Typ obudowy 1U Rack</w:t>
      </w:r>
    </w:p>
    <w:p>
      <w:pPr>
        <w:pStyle w:val="Standard"/>
        <w:ind w:left="1418" w:hanging="36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     </w:t>
      </w:r>
      <w:r>
        <w:rPr>
          <w:rFonts w:ascii="Calibri" w:hAnsi="Calibri" w:asciiTheme="minorHAnsi" w:hAnsiTheme="minorHAnsi"/>
        </w:rPr>
        <w:t>6.Usługa - Zamontowanie szafy IT, instalacja i podłączenie urządzeń do istniejącej sieci LAN/WAN oraz konfiguracja komponentów w szafie IT, skonfigurowanie do pracy w obiekcie.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CZĘŚĆ SIÓDMA</w:t>
      </w:r>
    </w:p>
    <w:p>
      <w:pPr>
        <w:pStyle w:val="Standard"/>
        <w:numPr>
          <w:ilvl w:val="0"/>
          <w:numId w:val="11"/>
        </w:numPr>
        <w:rPr>
          <w:rFonts w:ascii="Calibri" w:hAnsi="Calibri" w:asciiTheme="minorHAnsi" w:hAnsiTheme="minorHAnsi"/>
        </w:rPr>
      </w:pPr>
      <w:r>
        <w:rPr>
          <w:rFonts w:cs="Calibri" w:cstheme="minorHAnsi"/>
          <w:b/>
          <w:bCs/>
        </w:rPr>
        <w:t xml:space="preserve"> </w:t>
      </w:r>
      <w:r>
        <w:rPr>
          <w:rFonts w:ascii="Calibri" w:hAnsi="Calibri" w:asciiTheme="minorHAnsi" w:hAnsiTheme="minorHAnsi"/>
        </w:rPr>
        <w:t>Laptop o parametrach co najmniej takich jak poniżej   2 sztuki</w:t>
      </w:r>
    </w:p>
    <w:p>
      <w:pPr>
        <w:pStyle w:val="Standard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Procesor Intel Core i5-11400H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(6 rdzeni, 12 wątków, 2.70-4.50 GHz, 12MB cache)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Pamięć 32GB, DDR4, 2933 MHz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Dysk twardy 512GB SSD NVMe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Karta Graficzna NVIDIA GeForce RTX 3050 z 4GB pamięci GDDR6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Ekran 15,6-calowy FHD (1920x1080) z przeciwodblaskowym podświetleniem LED, bezdotykowy, z wąską ramką, 300-nitowy wyświetlacz WVA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Intel Wi-Fi 6 &amp; Bluetooth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Głośniki stereofoniczne, 2 W x 2 W (ł</w:t>
      </w:r>
      <w:bookmarkStart w:id="2" w:name="_GoBack"/>
      <w:bookmarkEnd w:id="2"/>
      <w:r>
        <w:rPr>
          <w:rFonts w:ascii="Calibri" w:hAnsi="Calibri" w:asciiTheme="minorHAnsi" w:hAnsiTheme="minorHAnsi"/>
        </w:rPr>
        <w:t>ącznie 4 W)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Kamera HD z dwoma mikrofonami macierzowymi, 1280 x 720 przy 30 kl./s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ThunderBolt™ 4 z obsługą protokołu DisplayPort 1.4 i funkcją Power Delivery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USB 3.2 Type-A 1. generacji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HDMI 2.0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Czytnik Kart SD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Szyfrowanie TPM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Wielodotykowy touchpad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Wydzielona klawiatura numeryczna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Podświetlana klawiatura QWERTY PL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Aluminiowa obudowa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Standard militarny MIL-STD-810H</w:t>
      </w:r>
    </w:p>
    <w:p>
      <w:pPr>
        <w:pStyle w:val="Standard"/>
        <w:numPr>
          <w:ilvl w:val="0"/>
          <w:numId w:val="12"/>
        </w:numPr>
        <w:ind w:left="1418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System Windows 11 Professional PL 64Bit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 xml:space="preserve">Kody dotyczące przedmiotu zamówienia określone we Wspólnym Słowniku Zamówień CPV: 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spacing w:lineRule="auto" w:line="240" w:beforeAutospacing="1" w:afterAutospacing="1"/>
        <w:ind w:left="1080" w:hanging="0"/>
        <w:contextualSpacing/>
        <w:jc w:val="both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48000000-8- Pakiety oprogramowania i systemy informatyczne 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72211000-7-Usługi programowania oprogramowania systemowego i dla użytkownika </w:t>
      </w:r>
      <w:r>
        <w:rPr>
          <w:sz w:val="24"/>
          <w:szCs w:val="24"/>
        </w:rPr>
        <w:br/>
      </w:r>
      <w:r>
        <w:rPr>
          <w:rFonts w:cs="Calibri" w:cstheme="minorHAnsi"/>
          <w:sz w:val="24"/>
          <w:szCs w:val="24"/>
          <w:lang w:eastAsia="pl-PL"/>
        </w:rPr>
        <w:t>30213100-6 - Komputery przenośne.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color w:val="565656"/>
          <w:sz w:val="24"/>
          <w:szCs w:val="24"/>
          <w:highlight w:val="white"/>
        </w:rPr>
      </w:pPr>
      <w:hyperlink r:id="rId3">
        <w:r>
          <w:rPr>
            <w:color w:val="565656"/>
            <w:sz w:val="24"/>
            <w:szCs w:val="24"/>
            <w:shd w:fill="EEEEEE" w:val="clear"/>
          </w:rPr>
          <w:t>30231300-0</w:t>
        </w:r>
      </w:hyperlink>
      <w:r>
        <w:rPr>
          <w:sz w:val="24"/>
          <w:szCs w:val="24"/>
        </w:rPr>
        <w:t xml:space="preserve">  - Monitory ekranowe </w:t>
        <w:br/>
      </w:r>
      <w:r>
        <w:rPr>
          <w:color w:val="565656"/>
          <w:sz w:val="24"/>
          <w:szCs w:val="24"/>
          <w:shd w:fill="EEEEEE" w:val="clear"/>
        </w:rPr>
        <w:t xml:space="preserve">48820000-2 – Serwery </w:t>
      </w:r>
      <w:r>
        <w:rPr>
          <w:sz w:val="24"/>
          <w:szCs w:val="24"/>
        </w:rPr>
        <w:br/>
      </w:r>
      <w:r>
        <w:rPr>
          <w:color w:val="565656"/>
          <w:sz w:val="24"/>
          <w:szCs w:val="24"/>
          <w:shd w:fill="EEEEEE" w:val="clear"/>
        </w:rPr>
        <w:t xml:space="preserve">30232110-8 – drukarki 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color w:val="565656"/>
          <w:sz w:val="24"/>
          <w:szCs w:val="24"/>
          <w:highlight w:val="white"/>
        </w:rPr>
      </w:pPr>
      <w:r>
        <w:rPr>
          <w:color w:val="565656"/>
          <w:sz w:val="24"/>
          <w:szCs w:val="24"/>
          <w:shd w:fill="EEEEEE" w:val="clear"/>
        </w:rPr>
        <w:t>30200000-1- Urządzenia komputerowe</w:t>
      </w:r>
    </w:p>
    <w:p>
      <w:pPr>
        <w:pStyle w:val="ListParagraph"/>
        <w:spacing w:lineRule="auto" w:line="240" w:beforeAutospacing="1" w:afterAutospacing="1"/>
        <w:ind w:left="1080" w:hanging="0"/>
        <w:contextualSpacing/>
        <w:rPr>
          <w:color w:val="565656"/>
          <w:sz w:val="24"/>
          <w:szCs w:val="24"/>
          <w:highlight w:val="white"/>
        </w:rPr>
      </w:pPr>
      <w:hyperlink r:id="rId4">
        <w:r>
          <w:rPr>
            <w:rFonts w:ascii="Open Sans" w:hAnsi="Open Sans"/>
            <w:color w:val="565656"/>
            <w:sz w:val="21"/>
            <w:szCs w:val="21"/>
            <w:shd w:fill="EEEEEE" w:val="clear"/>
          </w:rPr>
          <w:t>30236000-2</w:t>
        </w:r>
      </w:hyperlink>
      <w:r>
        <w:rPr/>
        <w:t xml:space="preserve">   Różny sprzęt komputerowy</w:t>
      </w:r>
    </w:p>
    <w:p>
      <w:pPr>
        <w:pStyle w:val="Normal"/>
        <w:spacing w:lineRule="auto" w:line="240" w:beforeAutospacing="1" w:afterAutospacing="1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V. Zobowiązania Wykonawcy.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Wykonawca zobowiązany jest do dostawy (transport i rozładunek na koszt Wykonawcy) przedmiotu zamówienia pod wskazany adres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NZOZ PLR UŚMIECH ARTUR PORĘBSKI </w:t>
      </w:r>
      <w:r>
        <w:rPr>
          <w:rFonts w:eastAsia="Times New Roman" w:cs="Calibri" w:cstheme="minorHAnsi"/>
          <w:sz w:val="24"/>
          <w:szCs w:val="24"/>
          <w:lang w:eastAsia="pl-PL"/>
        </w:rPr>
        <w:t>ul. Różana 33, 21-025 Niemce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739" w:leader="none"/>
        </w:tabs>
        <w:spacing w:lineRule="auto" w:line="240" w:beforeAutospacing="1" w:afterAutospacing="1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Termin realizacji zamówienia.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ind w:left="360" w:hanging="0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-termin realizacji umowy; max 30 dni od daty podpisania umowy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ind w:left="360" w:hanging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VI. Termin składania ofert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Termin składania ofert upływa dnia </w:t>
      </w:r>
      <w:r>
        <w:rPr>
          <w:rFonts w:cs="Calibri" w:cstheme="minorHAnsi"/>
          <w:b/>
          <w:bCs/>
          <w:color w:val="FF0000"/>
          <w:sz w:val="24"/>
          <w:szCs w:val="24"/>
        </w:rPr>
        <w:t>14.06.2023 r. o godz. 10.00.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Wypełniony czytelnie i podpisany przez Wykonawcę formularz ofertowy, na druku stanowiącym załącznik nr 1 do niniejszego zapytania, należy  złożyć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NZOZ PLR UŚMIECH ARTUR PORĘBSKI </w:t>
      </w:r>
      <w:r>
        <w:rPr>
          <w:rFonts w:eastAsia="Times New Roman" w:cs="Calibri" w:cstheme="minorHAnsi"/>
          <w:sz w:val="24"/>
          <w:szCs w:val="24"/>
          <w:lang w:eastAsia="pl-PL"/>
        </w:rPr>
        <w:t>ul. Różana 33, 21-025 Niemce</w:t>
      </w:r>
    </w:p>
    <w:p>
      <w:pPr>
        <w:pStyle w:val="Normal"/>
        <w:spacing w:lineRule="exact" w:line="90" w:before="0" w:after="0"/>
        <w:rPr>
          <w:rFonts w:eastAsia="Calibri" w:cs="Calibri" w:cstheme="minorHAnsi"/>
          <w:sz w:val="24"/>
          <w:szCs w:val="24"/>
          <w:lang w:eastAsia="pl-PL"/>
        </w:rPr>
      </w:pPr>
      <w:r>
        <w:rPr>
          <w:rFonts w:eastAsia="Calibri" w:cs="Calibri" w:cstheme="minorHAns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35" w:before="0" w:after="0"/>
        <w:contextualSpacing/>
        <w:jc w:val="both"/>
        <w:rPr>
          <w:rFonts w:eastAsia="Calibri" w:cs="Calibri" w:cstheme="minorHAnsi"/>
          <w:sz w:val="24"/>
          <w:szCs w:val="24"/>
          <w:lang w:eastAsia="pl-PL"/>
        </w:rPr>
      </w:pPr>
      <w:r>
        <w:rPr>
          <w:rFonts w:eastAsia="Calibri" w:cs="Calibri" w:cstheme="minorHAnsi"/>
          <w:sz w:val="24"/>
          <w:szCs w:val="24"/>
          <w:lang w:eastAsia="pl-PL"/>
        </w:rPr>
        <w:t>Oferty otrzymane przez Zamawiającego po terminie zostaną pozostawione bez rozpatrzenia.</w:t>
      </w:r>
    </w:p>
    <w:p>
      <w:pPr>
        <w:pStyle w:val="ListParagraph"/>
        <w:numPr>
          <w:ilvl w:val="0"/>
          <w:numId w:val="1"/>
        </w:numPr>
        <w:spacing w:lineRule="auto" w:line="235"/>
        <w:jc w:val="both"/>
        <w:rPr>
          <w:rFonts w:eastAsia="Calibri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Calibri" w:cs="Calibri" w:cstheme="minorHAnsi"/>
          <w:sz w:val="24"/>
          <w:szCs w:val="24"/>
          <w:lang w:eastAsia="pl-PL"/>
        </w:rPr>
        <w:t xml:space="preserve">Wykonawca może zwrócić się do Zamawiającego o wyjaśnienie treści Zapytania. Zamawiający jest zobowiązany udzielić wyjaśnień niezwłocznie. Zamawiający ma prawo do nieodpowiadania na pytania Wykonawców złożone po upływie połowy wyznaczonego terminu składania ofert. Adres email </w:t>
      </w:r>
      <w:hyperlink r:id="rId5">
        <w:r>
          <w:rPr>
            <w:rStyle w:val="Czeinternetowe"/>
            <w:rFonts w:eastAsia="Calibri" w:cs="Calibri" w:cstheme="minorHAnsi"/>
            <w:b/>
            <w:bCs/>
            <w:sz w:val="24"/>
            <w:szCs w:val="24"/>
            <w:lang w:eastAsia="pl-PL"/>
          </w:rPr>
          <w:t>usmiech33@gmail.com</w:t>
        </w:r>
      </w:hyperlink>
    </w:p>
    <w:p>
      <w:pPr>
        <w:pStyle w:val="ListParagraph"/>
        <w:numPr>
          <w:ilvl w:val="0"/>
          <w:numId w:val="1"/>
        </w:numPr>
        <w:spacing w:lineRule="auto" w:line="235" w:before="0" w:after="0"/>
        <w:contextualSpacing/>
        <w:jc w:val="both"/>
        <w:rPr>
          <w:rFonts w:eastAsia="Calibri" w:cs="Calibri" w:cstheme="minorHAnsi"/>
          <w:sz w:val="24"/>
          <w:szCs w:val="24"/>
          <w:lang w:eastAsia="pl-PL"/>
        </w:rPr>
      </w:pPr>
      <w:r>
        <w:rPr>
          <w:rFonts w:eastAsia="Calibri" w:cs="Calibri" w:cstheme="minorHAnsi"/>
          <w:sz w:val="24"/>
          <w:szCs w:val="24"/>
          <w:lang w:eastAsia="pl-PL"/>
        </w:rPr>
        <w:t>W przypadku rozbieżności pomiędzy treścią niniejszego Zapytania, a treścią udzielonych odpowiedzi jako obowiązującą należy przyjąć udzieloną odpowiedź.</w:t>
      </w:r>
    </w:p>
    <w:p>
      <w:pPr>
        <w:pStyle w:val="Normal"/>
        <w:spacing w:lineRule="auto" w:line="235" w:before="0" w:after="0"/>
        <w:jc w:val="both"/>
        <w:rPr>
          <w:rFonts w:eastAsia="Calibri" w:cs="Calibri" w:cstheme="minorHAnsi"/>
          <w:sz w:val="24"/>
          <w:szCs w:val="24"/>
          <w:lang w:eastAsia="pl-PL"/>
        </w:rPr>
      </w:pPr>
      <w:r>
        <w:rPr>
          <w:rFonts w:eastAsia="Calibri" w:cs="Calibri" w:cstheme="minorHAns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Termin związania z ofertą 30 dni tj. 14.07.2023r.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ind w:left="108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VIII. Opis sposobu obliczenia ceny.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Wykonawca zobowiązuje się do podania ceny jednostkowej (brutto/netto) oraz do wyliczenia ceny łącznej za cały przedmiot zamówienia (brutto/netto) zgodnie </w:t>
        <w:br/>
        <w:t xml:space="preserve">z załączonym formularzem ofertowym stanowiącym załącznik nr 1 do niniejszego zapytania ofertowego. Wartość cenową należy podać w PLN w zapisie liczbowym – </w:t>
        <w:br/>
        <w:t xml:space="preserve">z dokładnością do 2 miejsc po przecinku oraz słownie za całość zamówienia. Cena powinna zawierać wszelkie koszty związane z wykonaniem przedmiotu zamówienia. 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VIII. Opis kryteriów wyboru oferty</w:t>
      </w:r>
      <w:r>
        <w:rPr>
          <w:rFonts w:cs="Calibri" w:cstheme="minorHAnsi"/>
          <w:sz w:val="24"/>
          <w:szCs w:val="24"/>
        </w:rPr>
        <w:t xml:space="preserve">. 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Oferty będą oceniane wg kryteriów: cena- waga 100%. Ofertą najkorzystniejszą będzie oferta z najniższą ceną za cały przedmiot zamówienia. Liczba punktów liczone będzie wg wzoru: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</w:t>
      </w:r>
      <w:r>
        <w:rPr>
          <w:rFonts w:cs="Calibri" w:cstheme="minorHAnsi"/>
          <w:sz w:val="24"/>
          <w:szCs w:val="24"/>
        </w:rPr>
        <w:t>cena najniższa spośród nieodrzuconych ofert (w PLN)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 =     </w:t>
      </w:r>
      <w:r>
        <w:rPr>
          <w:rFonts w:cs="Calibri" w:cstheme="minorHAnsi"/>
          <w:strike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 xml:space="preserve">    x100 pkt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</w:t>
      </w:r>
      <w:r>
        <w:rPr>
          <w:rFonts w:cs="Calibri" w:cstheme="minorHAnsi"/>
          <w:sz w:val="24"/>
          <w:szCs w:val="24"/>
        </w:rPr>
        <w:t>cena badanej oferty ( w PLN)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Jeśli dwie lub więcej ofert otrzyma taką samą punktację, Zamawiający wezwie Wykonawców, którzy złożyli te oferty, do złożenia w terminie 2 dni roboczych ofert dodatkowych. </w:t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VIII. Warunki zapłaty.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739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Rozliczenie nastąpi na podstawie faktury wystawionej przez Wykonawcę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739" w:leader="none"/>
        </w:tabs>
        <w:spacing w:lineRule="auto" w:line="240" w:before="0" w:after="0"/>
        <w:ind w:left="1800" w:hanging="0"/>
        <w:contextualSpacing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IX. Pozostałe informacje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Zamawiający zastrzega sobie prawo do niewybrania żadnej złożonej oferty, powtórzenia zapytania lub odstąpienia od realizacji zamówienia bez podania przyczyny.  Wykonawcy tego tytułu nie będzie przysługiwało żadne odszkodowanie.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Zamawiający nie dopuszcza składania ofert częściowych.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Wszelkie pytania należy kierować w formie elektronicznej lub w formie pisemnej. Osoba do kontaktu: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Zamawiający dopuszcza porozumiewanie się z oferentami, oprócz formy pisemnej lub poczty elektronicznej.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Oferentom nie przysługują środki ochrony prawnej.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Jeżeli wykonawca, którego oferta zostanie wybrana, uchyli się od wykonania usługi, zamawiający wybierze ofertę najkorzystniejszą spośród pozostałych ofert, bez przeprowadzania kolejnej ich oceny.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Zamawiający zastrzega sobie prawo do unieważnienia niniejszego zapytania bez podania przyczyny. W takim przypadku Wykonawcom, którzy złożyli oferty nie przysługuje roszczenie o zwrot kosztów uczestnictwa w zapytaniu, w tym kosztów przygotowania oferty.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Zapytanie ofertowe nie stanowi oferty w rozumieniu art. 66 § 1 Kodeksu cywilnego.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Wykonawcy uczestniczą w postępowaniu ofertowym na własne ryzyko i koszt, nie przysługują im żadne roszczenia z tytułu odstąpienia przez zamawiającego od postępowania ofertowego.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Ocena zgodności ofert z wymaganiami zamawiającego przeprowadzona zostanie na podstawie analizy formularza ofertowego oraz przesłanych wraz z nim informacji, dokumentów i materiałów. Ocenie podlegać będzie zarówno formalna, jak                                   i merytoryczna zgodność oferty z wymaganiami.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Zamawiający nie przewiduje publicznego otwarcia ofert.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X. Załączniki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3"/>
          <w:numId w:val="4"/>
        </w:numPr>
        <w:spacing w:before="240" w:after="120"/>
        <w:ind w:left="709" w:hanging="425"/>
        <w:contextualSpacing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Załącznik nr 1 - formularz ofertowy</w:t>
      </w:r>
    </w:p>
    <w:p>
      <w:pPr>
        <w:pStyle w:val="ListParagraph"/>
        <w:numPr>
          <w:ilvl w:val="3"/>
          <w:numId w:val="4"/>
        </w:numPr>
        <w:spacing w:before="240" w:after="120"/>
        <w:ind w:left="709" w:hanging="425"/>
        <w:contextualSpacing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Załącznik nr 2 Klauzula RODO</w:t>
      </w:r>
    </w:p>
    <w:p>
      <w:pPr>
        <w:pStyle w:val="ListParagraph"/>
        <w:numPr>
          <w:ilvl w:val="3"/>
          <w:numId w:val="4"/>
        </w:numPr>
        <w:spacing w:before="240" w:after="120"/>
        <w:ind w:left="709" w:hanging="425"/>
        <w:contextualSpacing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Załącznik nr 3 Wzór umowy </w:t>
      </w:r>
    </w:p>
    <w:p>
      <w:pPr>
        <w:pStyle w:val="ListParagraph"/>
        <w:numPr>
          <w:ilvl w:val="3"/>
          <w:numId w:val="4"/>
        </w:numPr>
        <w:spacing w:before="240" w:after="120"/>
        <w:ind w:left="709" w:hanging="425"/>
        <w:contextualSpacing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Oświadczenie </w:t>
      </w:r>
    </w:p>
    <w:p>
      <w:pPr>
        <w:pStyle w:val="Normal"/>
        <w:spacing w:before="240" w:after="120"/>
        <w:contextualSpacing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left" w:pos="5739" w:leader="none"/>
        </w:tabs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uppressAutoHyphens w:val="true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39" w:leader="none"/>
        </w:tabs>
        <w:suppressAutoHyphens w:val="true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20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lowerLetter"/>
      <w:lvlText w:val="%3)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lowerLetter"/>
      <w:lvlText w:val="%3)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lowerLetter"/>
      <w:lvlText w:val="%3)"/>
      <w:lvlJc w:val="left"/>
      <w:pPr>
        <w:ind w:left="0" w:hanging="0"/>
      </w:pPr>
    </w:lvl>
    <w:lvl w:ilvl="3">
      <w:start w:val="1"/>
      <w:numFmt w:val="lowerLetter"/>
      <w:lvlText w:val="%4)"/>
      <w:lvlJc w:val="left"/>
      <w:pPr>
        <w:ind w:left="0" w:hanging="0"/>
      </w:pPr>
    </w:lvl>
    <w:lvl w:ilvl="4">
      <w:start w:val="1"/>
      <w:numFmt w:val="lowerLetter"/>
      <w:lvlText w:val="%5)"/>
      <w:lvlJc w:val="left"/>
      <w:pPr>
        <w:ind w:left="0" w:hanging="0"/>
      </w:pPr>
    </w:lvl>
    <w:lvl w:ilvl="5">
      <w:start w:val="1"/>
      <w:numFmt w:val="lowerLetter"/>
      <w:lvlText w:val="%6)"/>
      <w:lvlJc w:val="left"/>
      <w:pPr>
        <w:ind w:left="0" w:hanging="0"/>
      </w:pPr>
    </w:lvl>
    <w:lvl w:ilvl="6">
      <w:start w:val="1"/>
      <w:numFmt w:val="lowerLetter"/>
      <w:lvlText w:val="%7)"/>
      <w:lvlJc w:val="left"/>
      <w:pPr>
        <w:ind w:left="0" w:hanging="0"/>
      </w:pPr>
    </w:lvl>
    <w:lvl w:ilvl="7">
      <w:start w:val="1"/>
      <w:numFmt w:val="lowerLetter"/>
      <w:lvlText w:val="%8)"/>
      <w:lvlJc w:val="left"/>
      <w:pPr>
        <w:ind w:left="0" w:hanging="0"/>
      </w:pPr>
    </w:lvl>
    <w:lvl w:ilvl="8">
      <w:start w:val="1"/>
      <w:numFmt w:val="lowerLetter"/>
      <w:lvlText w:val="%9)"/>
      <w:lvlJc w:val="left"/>
      <w:pPr>
        <w:ind w:left="0" w:hanging="0"/>
      </w:pPr>
    </w:lvl>
  </w:abstractNum>
  <w:abstractNum w:abstractNumId="13">
    <w:lvl w:ilvl="0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</w:abstractNum>
  <w:abstractNum w:abstractNumId="14">
    <w:lvl w:ilvl="0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</w:abstractNum>
  <w:abstractNum w:abstractNumId="15">
    <w:lvl w:ilvl="0">
      <w:start w:val="1"/>
      <w:numFmt w:val="bullet"/>
      <w:lvlText w:val="●"/>
      <w:lvlJc w:val="left"/>
      <w:pPr>
        <w:ind w:left="0" w:hanging="0"/>
      </w:pPr>
      <w:rPr>
        <w:rFonts w:ascii="Times New Roman" w:hAnsi="Times New Roman" w:cs="Times New Roman" w:hint="default"/>
        <w:sz w:val="22"/>
        <w:u w:val="none"/>
        <w:szCs w:val="22"/>
        <w:rFonts w:cs="Times New Roman"/>
        <w:color w:val="222222"/>
      </w:r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</w:abstractNum>
  <w:abstractNum w:abstractNumId="16">
    <w:lvl w:ilvl="0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</w:abstractNum>
  <w:abstractNum w:abstractNumId="17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</w:abstractNum>
  <w:abstractNum w:abstractNumId="18">
    <w:lvl w:ilvl="0">
      <w:start w:val="1"/>
      <w:numFmt w:val="bullet"/>
      <w:lvlText w:val="●"/>
      <w:lvlJc w:val="left"/>
      <w:pPr>
        <w:ind w:left="0" w:hanging="0"/>
      </w:pPr>
      <w:rPr>
        <w:rFonts w:ascii="Times New Roman" w:hAnsi="Times New Roman" w:cs="Times New Roman" w:hint="default"/>
        <w:sz w:val="22"/>
        <w:u w:val="none"/>
        <w:szCs w:val="22"/>
        <w:rFonts w:cs="Times New Roman"/>
        <w:color w:val="222222"/>
      </w:rPr>
    </w:lvl>
    <w:lvl w:ilvl="1">
      <w:start w:val="1"/>
      <w:numFmt w:val="lowerLetter"/>
      <w:lvlText w:val="%2)"/>
      <w:lvlJc w:val="left"/>
      <w:pPr>
        <w:ind w:left="0" w:hanging="0"/>
      </w:pPr>
    </w:lvl>
    <w:lvl w:ilvl="2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0" w:hanging="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0" w:hanging="0"/>
      </w:pPr>
      <w:rPr>
        <w:rFonts w:ascii="OpenSymbol" w:hAnsi="OpenSymbol" w:cs="OpenSymbol" w:hint="default"/>
        <w:u w:val="none"/>
        <w:rFonts w:cs="OpenSymbol"/>
      </w:rPr>
    </w:lvl>
  </w:abstractNum>
  <w:abstractNum w:abstractNumId="19"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4"/>
    <w:lvlOverride w:ilvl="0">
      <w:lvl w:ilvl="0">
        <w:start w:val="1"/>
        <w:numFmt w:val="bullet"/>
        <w:lvlText w:val=""/>
        <w:lvlJc w:val="left"/>
        <w:pPr>
          <w:ind w:left="0" w:hanging="0"/>
        </w:pPr>
        <w:rPr>
          <w:rFonts w:ascii="Wingdings" w:hAnsi="Wingdings" w:cs="Wingdings" w:hint="default"/>
          <w:u w:val="none"/>
          <w:rFonts w:cs="Wingdings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0" w:hanging="0"/>
        </w:pPr>
        <w:rPr>
          <w:rFonts w:ascii="OpenSymbol" w:hAnsi="OpenSymbol" w:cs="OpenSymbol" w:hint="default"/>
          <w:u w:val="none"/>
          <w:rFonts w:cs="OpenSymbol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0" w:hanging="0"/>
        </w:pPr>
        <w:rPr>
          <w:rFonts w:ascii="Wingdings" w:hAnsi="Wingdings" w:cs="Wingdings" w:hint="default"/>
          <w:u w:val="none"/>
          <w:rFonts w:cs="Wingdings"/>
        </w:rPr>
      </w:lvl>
    </w:lvlOverride>
    <w:lvlOverride w:ilvl="4">
      <w:lvl w:ilvl="4">
        <w:start w:val="1"/>
        <w:numFmt w:val="bullet"/>
        <w:lvlText w:val=""/>
        <w:lvlJc w:val="left"/>
        <w:pPr>
          <w:ind w:left="0" w:hanging="0"/>
        </w:pPr>
        <w:rPr>
          <w:rFonts w:ascii="Wingdings 2" w:hAnsi="Wingdings 2" w:cs="Wingdings 2" w:hint="default"/>
          <w:u w:val="none"/>
          <w:rFonts w:cs="Wingdings 2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0" w:hanging="0"/>
        </w:pPr>
        <w:rPr>
          <w:rFonts w:ascii="OpenSymbol" w:hAnsi="OpenSymbol" w:cs="OpenSymbol" w:hint="default"/>
          <w:u w:val="none"/>
          <w:rFonts w:cs="OpenSymbol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0" w:hanging="0"/>
        </w:pPr>
        <w:rPr>
          <w:rFonts w:ascii="Wingdings" w:hAnsi="Wingdings" w:cs="Wingdings" w:hint="default"/>
          <w:u w:val="none"/>
          <w:rFonts w:cs="Wingdings"/>
        </w:rPr>
      </w:lvl>
    </w:lvlOverride>
    <w:lvlOverride w:ilvl="7">
      <w:lvl w:ilvl="7">
        <w:start w:val="1"/>
        <w:numFmt w:val="bullet"/>
        <w:lvlText w:val=""/>
        <w:lvlJc w:val="left"/>
        <w:pPr>
          <w:ind w:left="0" w:hanging="0"/>
        </w:pPr>
        <w:rPr>
          <w:rFonts w:ascii="Wingdings 2" w:hAnsi="Wingdings 2" w:cs="Wingdings 2" w:hint="default"/>
          <w:u w:val="none"/>
          <w:rFonts w:cs="Wingdings 2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0" w:hanging="0"/>
        </w:pPr>
        <w:rPr>
          <w:rFonts w:ascii="OpenSymbol" w:hAnsi="OpenSymbol" w:cs="OpenSymbol" w:hint="default"/>
          <w:u w:val="none"/>
          <w:rFonts w:cs="OpenSymbol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73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Standard"/>
    <w:next w:val="Standard"/>
    <w:link w:val="Nagwek1Znak"/>
    <w:qFormat/>
    <w:rsid w:val="00f82186"/>
    <w:pPr>
      <w:keepNext w:val="true"/>
      <w:keepLines/>
      <w:spacing w:before="240" w:after="120"/>
      <w:outlineLvl w:val="0"/>
    </w:pPr>
    <w:rPr>
      <w:rFonts w:ascii="Calibri Light" w:hAnsi="Calibri Light" w:eastAsia="F" w:cs="F"/>
      <w:color w:val="2F5496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d01ca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93A299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a7394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a739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a7394"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d377f"/>
    <w:rPr/>
  </w:style>
  <w:style w:type="character" w:styleId="Czeinternetowe">
    <w:name w:val="Łącze internetowe"/>
    <w:basedOn w:val="DefaultParagraphFont"/>
    <w:uiPriority w:val="99"/>
    <w:unhideWhenUsed/>
    <w:rsid w:val="00ce4087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50314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link w:val="Nagwek1"/>
    <w:qFormat/>
    <w:rsid w:val="00f82186"/>
    <w:rPr>
      <w:rFonts w:ascii="Calibri Light" w:hAnsi="Calibri Light" w:eastAsia="F" w:cs="F"/>
      <w:color w:val="2F5496"/>
      <w:kern w:val="2"/>
      <w:sz w:val="32"/>
      <w:szCs w:val="32"/>
      <w:lang w:eastAsia="zh-CN" w:bidi="hi-IN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d01ca8"/>
    <w:rPr>
      <w:rFonts w:ascii="Cambria" w:hAnsi="Cambria" w:eastAsia="" w:cs="" w:asciiTheme="majorHAnsi" w:cstheme="majorBidi" w:eastAsiaTheme="majorEastAsia" w:hAnsiTheme="majorHAnsi"/>
      <w:b/>
      <w:bCs/>
      <w:color w:val="93A299" w:themeColor="accent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ba73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a73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a7394"/>
    <w:pPr>
      <w:spacing w:lineRule="auto" w:line="259"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ba739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ba7394"/>
    <w:pPr>
      <w:widowControl/>
      <w:bidi w:val="0"/>
      <w:spacing w:lineRule="auto" w:line="240" w:before="0" w:after="0"/>
      <w:jc w:val="left"/>
    </w:pPr>
    <w:rPr>
      <w:rFonts w:eastAsia="SimSun" w:cs="Calibri" w:ascii="Calibri" w:hAnsi="Calibri"/>
      <w:color w:val="000000"/>
      <w:kern w:val="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73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0d377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f8218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f82186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portalzp.pl/kody-cpv/szczegoly/monitory-ekranowe-1985" TargetMode="External"/><Relationship Id="rId4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hyperlink" Target="mailto:usmiech33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rzejrzystość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LibreOffice/6.4.4.2$Windows_X86_64 LibreOffice_project/3d775be2011f3886db32dfd395a6a6d1ca2630ff</Application>
  <Pages>7</Pages>
  <Words>1470</Words>
  <Characters>8807</Characters>
  <CharactersWithSpaces>10262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2021-04-16T13:03:00Z</dcterms:created>
  <dc:creator>Sylwia</dc:creator>
  <dc:description/>
  <dc:language>pl-PL</dc:language>
  <cp:lastModifiedBy/>
  <cp:lastPrinted>2021-11-22T10:33:00Z</cp:lastPrinted>
  <dcterms:modified xsi:type="dcterms:W3CDTF">2023-06-07T14:07:27Z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